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sz w:val="21"/>
          <w:szCs w:val="21"/>
        </w:rPr>
      </w:pPr>
      <w:r>
        <w:rPr>
          <w:rFonts w:ascii="黑体" w:hAnsi="微软雅黑" w:eastAsia="黑体" w:cs="黑体"/>
          <w:b w:val="0"/>
          <w:color w:val="333333"/>
          <w:sz w:val="31"/>
          <w:szCs w:val="31"/>
        </w:rPr>
        <w:t>附件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color w:val="333333"/>
          <w:sz w:val="43"/>
          <w:szCs w:val="43"/>
        </w:rPr>
        <w:t>专</w:t>
      </w: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43"/>
          <w:szCs w:val="43"/>
        </w:rPr>
        <w:t>业科目报名有关事项说明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sz w:val="21"/>
          <w:szCs w:val="21"/>
        </w:rPr>
      </w:pPr>
      <w:r>
        <w:rPr>
          <w:rFonts w:ascii="仿宋_GB2312" w:hAnsi="微软雅黑" w:eastAsia="仿宋_GB2312" w:cs="仿宋_GB2312"/>
          <w:b w:val="0"/>
          <w:color w:val="333333"/>
          <w:sz w:val="31"/>
          <w:szCs w:val="31"/>
        </w:rPr>
        <w:t>为了规范我市</w:t>
      </w:r>
      <w:r>
        <w:rPr>
          <w:rFonts w:hint="default" w:ascii="微软雅黑" w:hAnsi="微软雅黑" w:eastAsia="微软雅黑" w:cs="微软雅黑"/>
          <w:b w:val="0"/>
          <w:color w:val="333333"/>
          <w:sz w:val="21"/>
          <w:szCs w:val="21"/>
          <w:u w:val="none"/>
        </w:rPr>
        <w:fldChar w:fldCharType="begin"/>
      </w:r>
      <w:r>
        <w:rPr>
          <w:rFonts w:hint="default" w:ascii="微软雅黑" w:hAnsi="微软雅黑" w:eastAsia="微软雅黑" w:cs="微软雅黑"/>
          <w:b w:val="0"/>
          <w:color w:val="333333"/>
          <w:sz w:val="21"/>
          <w:szCs w:val="21"/>
          <w:u w:val="none"/>
        </w:rPr>
        <w:instrText xml:space="preserve"> HYPERLINK "https://baike.baidu.com/item/%E7%BB%A7%E7%BB%AD%E6%95%99%E8%82%B2" \t "https://baike.baidu.com/item/%E4%B8%93%E4%B8%9A%E6%8A%80%E6%9C%AF%E4%BA%BA%E5%91%98%E7%BB%A7%E7%BB%AD%E6%95%99%E8%82%B2%E8%A7%84%E5%AE%9A/_blank" </w:instrText>
      </w:r>
      <w:r>
        <w:rPr>
          <w:rFonts w:hint="default" w:ascii="微软雅黑" w:hAnsi="微软雅黑" w:eastAsia="微软雅黑" w:cs="微软雅黑"/>
          <w:b w:val="0"/>
          <w:color w:val="333333"/>
          <w:sz w:val="21"/>
          <w:szCs w:val="21"/>
          <w:u w:val="none"/>
        </w:rPr>
        <w:fldChar w:fldCharType="separate"/>
      </w:r>
      <w:r>
        <w:rPr>
          <w:rStyle w:val="7"/>
          <w:rFonts w:hint="eastAsia" w:ascii="仿宋_GB2312" w:hAnsi="微软雅黑" w:eastAsia="仿宋_GB2312" w:cs="仿宋_GB2312"/>
          <w:b w:val="0"/>
          <w:color w:val="auto"/>
          <w:sz w:val="31"/>
          <w:szCs w:val="31"/>
          <w:u w:val="none"/>
        </w:rPr>
        <w:t>继续教育</w:t>
      </w:r>
      <w:r>
        <w:rPr>
          <w:rFonts w:hint="default" w:ascii="微软雅黑" w:hAnsi="微软雅黑" w:eastAsia="微软雅黑" w:cs="微软雅黑"/>
          <w:b w:val="0"/>
          <w:color w:val="333333"/>
          <w:sz w:val="21"/>
          <w:szCs w:val="21"/>
          <w:u w:val="none"/>
        </w:rPr>
        <w:fldChar w:fldCharType="end"/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活动，保障专业技术人员权益，不断提高专业技术人员素质，根据有关文件要求，现将专业科目报名学习等事宜作如下说明：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1.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专业科目是继续教育内容的重要组成部分，专业科目包括专业技术人员从事专业工作应当掌握的新理论、新知识、新技术、新方法等专业知识。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2.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为了便于我市广大专业技术人员学习，专业技术人员可登陆山东大众云学教育（省人社厅公开招募的培训机构、省级专业技术人员继续教育基地）远程培训平台（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http://sdta.yxlearning.com/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），以网络学习的形式具体实施。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3.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网络报名、缴费、学习、考试等事宜详见《专业科目网络报名考试操作说明》。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4.2020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年度泰安市继续教育专业科目，根据个人的专业和需求，可以完成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5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—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20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学分（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25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—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100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学时）的学习任务，收费标准为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元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/1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学时，参加专业科目的网络报名，根据个人申报的学习内容，个人从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5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学分（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25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学时）、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学分（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50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学时）、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15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学分（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75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学时）、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20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学分（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100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学时）四个学分段中选择一项，选择按照收费标准成功缴费后方可参加学习。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70E36"/>
    <w:rsid w:val="1EF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2020-04-17T02:58:00Z</dcterms:created>
  <dc:creator>狐尼克</dc:creator>
  <cp:lastModifiedBy>狐尼克</cp:lastModifiedBy>
  <dcterms:modified xsi:type="dcterms:W3CDTF">2020-04-17T03:02:04Z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